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44" w:rsidRDefault="004F3C44">
      <w:pPr>
        <w:pStyle w:val="BodyA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4F3C44" w:rsidRDefault="004F3C44">
      <w:pPr>
        <w:pStyle w:val="BodyA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4F3C44" w:rsidRDefault="003560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AKADEMİK </w:t>
      </w:r>
      <w:bookmarkStart w:id="0" w:name="_GoBack"/>
      <w:bookmarkEnd w:id="0"/>
      <w:r w:rsidR="00B22730">
        <w:rPr>
          <w:rFonts w:ascii="Times New Roman" w:hAnsi="Times New Roman"/>
          <w:b/>
          <w:bCs/>
        </w:rPr>
        <w:t>Ö</w:t>
      </w:r>
      <w:r w:rsidR="00B22730">
        <w:rPr>
          <w:rFonts w:ascii="Times New Roman" w:hAnsi="Times New Roman"/>
          <w:b/>
          <w:bCs/>
          <w:lang w:val="de-DE"/>
        </w:rPr>
        <w:t>ZGE</w:t>
      </w:r>
      <w:r w:rsidR="00B22730">
        <w:rPr>
          <w:rFonts w:ascii="Times New Roman" w:hAnsi="Times New Roman"/>
          <w:b/>
          <w:bCs/>
        </w:rPr>
        <w:t>Ç</w:t>
      </w:r>
      <w:r w:rsidR="00B22730">
        <w:rPr>
          <w:rFonts w:ascii="Times New Roman" w:hAnsi="Times New Roman"/>
          <w:b/>
          <w:bCs/>
        </w:rPr>
        <w:t>M</w:t>
      </w:r>
      <w:r w:rsidR="00B22730">
        <w:rPr>
          <w:rFonts w:ascii="Times New Roman" w:hAnsi="Times New Roman"/>
          <w:b/>
          <w:bCs/>
        </w:rPr>
        <w:t>İŞ</w:t>
      </w:r>
    </w:p>
    <w:p w:rsidR="004F3C44" w:rsidRDefault="004F3C4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</w:rPr>
        <w:t>ı</w:t>
      </w:r>
      <w:proofErr w:type="spellEnd"/>
      <w:r w:rsidR="00356020">
        <w:rPr>
          <w:rFonts w:ascii="Times New Roman" w:hAnsi="Times New Roman"/>
          <w:b/>
          <w:bCs/>
        </w:rPr>
        <w:t xml:space="preserve"> </w:t>
      </w:r>
      <w:proofErr w:type="spellStart"/>
      <w:r w:rsidR="00356020">
        <w:rPr>
          <w:rFonts w:ascii="Times New Roman" w:hAnsi="Times New Roman"/>
          <w:b/>
          <w:bCs/>
        </w:rPr>
        <w:t>Soyadı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ZDE BAYRAKTAR</w:t>
      </w:r>
    </w:p>
    <w:p w:rsidR="004F3C44" w:rsidRDefault="003560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nl-NL"/>
        </w:rPr>
        <w:t>2</w:t>
      </w:r>
      <w:r w:rsidR="00B22730">
        <w:rPr>
          <w:rFonts w:ascii="Times New Roman" w:hAnsi="Times New Roman"/>
          <w:b/>
          <w:bCs/>
          <w:lang w:val="nl-NL"/>
        </w:rPr>
        <w:t xml:space="preserve">. </w:t>
      </w:r>
      <w:r w:rsidR="00B22730">
        <w:rPr>
          <w:rFonts w:ascii="Times New Roman" w:hAnsi="Times New Roman"/>
          <w:b/>
          <w:bCs/>
          <w:lang w:val="nl-NL"/>
        </w:rPr>
        <w:tab/>
        <w:t>Unvan</w:t>
      </w:r>
      <w:proofErr w:type="spellStart"/>
      <w:r w:rsidR="00B22730">
        <w:rPr>
          <w:rFonts w:ascii="Times New Roman" w:hAnsi="Times New Roman"/>
          <w:b/>
          <w:bCs/>
        </w:rPr>
        <w:t>ı</w:t>
      </w:r>
      <w:proofErr w:type="spellEnd"/>
      <w:r w:rsidR="00B22730">
        <w:rPr>
          <w:rFonts w:ascii="Times New Roman" w:hAnsi="Times New Roman"/>
          <w:b/>
          <w:bCs/>
        </w:rPr>
        <w:tab/>
      </w:r>
      <w:r w:rsidR="00B22730">
        <w:rPr>
          <w:rFonts w:ascii="Times New Roman" w:hAnsi="Times New Roman"/>
          <w:b/>
          <w:bCs/>
        </w:rPr>
        <w:tab/>
      </w:r>
      <w:r w:rsidR="00B22730">
        <w:rPr>
          <w:rFonts w:ascii="Times New Roman" w:hAnsi="Times New Roman"/>
          <w:b/>
          <w:bCs/>
        </w:rPr>
        <w:tab/>
      </w:r>
      <w:r w:rsidR="00B22730">
        <w:rPr>
          <w:rFonts w:ascii="Times New Roman" w:hAnsi="Times New Roman"/>
          <w:b/>
          <w:bCs/>
        </w:rPr>
        <w:t xml:space="preserve">: </w:t>
      </w:r>
      <w:proofErr w:type="spellStart"/>
      <w:r w:rsidR="00B22730">
        <w:rPr>
          <w:rFonts w:ascii="Times New Roman" w:hAnsi="Times New Roman"/>
          <w:b/>
          <w:bCs/>
        </w:rPr>
        <w:t>Yard</w:t>
      </w:r>
      <w:r w:rsidR="00B22730">
        <w:rPr>
          <w:rFonts w:ascii="Times New Roman" w:hAnsi="Times New Roman"/>
          <w:b/>
          <w:bCs/>
        </w:rPr>
        <w:t>ı</w:t>
      </w:r>
      <w:r w:rsidR="00B22730">
        <w:rPr>
          <w:rFonts w:ascii="Times New Roman" w:hAnsi="Times New Roman"/>
          <w:b/>
          <w:bCs/>
        </w:rPr>
        <w:t>mc</w:t>
      </w:r>
      <w:r w:rsidR="00B22730">
        <w:rPr>
          <w:rFonts w:ascii="Times New Roman" w:hAnsi="Times New Roman"/>
          <w:b/>
          <w:bCs/>
        </w:rPr>
        <w:t>ı</w:t>
      </w:r>
      <w:proofErr w:type="spellEnd"/>
      <w:r w:rsidR="00B22730">
        <w:rPr>
          <w:rFonts w:ascii="Times New Roman" w:hAnsi="Times New Roman"/>
          <w:b/>
          <w:bCs/>
        </w:rPr>
        <w:t xml:space="preserve"> </w:t>
      </w:r>
      <w:proofErr w:type="spellStart"/>
      <w:r w:rsidR="00B22730">
        <w:rPr>
          <w:rFonts w:ascii="Times New Roman" w:hAnsi="Times New Roman"/>
          <w:b/>
          <w:bCs/>
        </w:rPr>
        <w:t>Do</w:t>
      </w:r>
      <w:r w:rsidR="00B22730">
        <w:rPr>
          <w:rFonts w:ascii="Times New Roman" w:hAnsi="Times New Roman"/>
          <w:b/>
          <w:bCs/>
        </w:rPr>
        <w:t>ç</w:t>
      </w:r>
      <w:r w:rsidR="00B22730">
        <w:rPr>
          <w:rFonts w:ascii="Times New Roman" w:hAnsi="Times New Roman"/>
          <w:b/>
          <w:bCs/>
        </w:rPr>
        <w:t>ent</w:t>
      </w:r>
      <w:proofErr w:type="spellEnd"/>
      <w:r w:rsidR="00B22730">
        <w:rPr>
          <w:rFonts w:ascii="Times New Roman" w:hAnsi="Times New Roman"/>
          <w:b/>
          <w:bCs/>
        </w:rPr>
        <w:t xml:space="preserve"> </w:t>
      </w:r>
      <w:proofErr w:type="spellStart"/>
      <w:r w:rsidR="00B22730">
        <w:rPr>
          <w:rFonts w:ascii="Times New Roman" w:hAnsi="Times New Roman"/>
          <w:b/>
          <w:bCs/>
        </w:rPr>
        <w:t>Doktor</w:t>
      </w:r>
      <w:proofErr w:type="spellEnd"/>
    </w:p>
    <w:p w:rsidR="004F3C44" w:rsidRDefault="003560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B22730">
        <w:rPr>
          <w:rFonts w:ascii="Times New Roman" w:hAnsi="Times New Roman"/>
          <w:b/>
          <w:bCs/>
        </w:rPr>
        <w:t>.</w:t>
      </w:r>
      <w:r w:rsidR="00B22730">
        <w:rPr>
          <w:rFonts w:ascii="Times New Roman" w:hAnsi="Times New Roman"/>
          <w:b/>
          <w:bCs/>
        </w:rPr>
        <w:tab/>
      </w:r>
      <w:proofErr w:type="spellStart"/>
      <w:r w:rsidR="00B22730">
        <w:rPr>
          <w:rFonts w:ascii="Times New Roman" w:hAnsi="Times New Roman"/>
          <w:b/>
          <w:bCs/>
        </w:rPr>
        <w:t>Öğ</w:t>
      </w:r>
      <w:r w:rsidR="00B22730">
        <w:rPr>
          <w:rFonts w:ascii="Times New Roman" w:hAnsi="Times New Roman"/>
          <w:b/>
          <w:bCs/>
        </w:rPr>
        <w:t>renim</w:t>
      </w:r>
      <w:proofErr w:type="spellEnd"/>
      <w:r w:rsidR="00B22730">
        <w:rPr>
          <w:rFonts w:ascii="Times New Roman" w:hAnsi="Times New Roman"/>
          <w:b/>
          <w:bCs/>
        </w:rPr>
        <w:t xml:space="preserve"> </w:t>
      </w:r>
      <w:proofErr w:type="spellStart"/>
      <w:r w:rsidR="00B22730">
        <w:rPr>
          <w:rFonts w:ascii="Times New Roman" w:hAnsi="Times New Roman"/>
          <w:b/>
          <w:bCs/>
        </w:rPr>
        <w:t>Durumu</w:t>
      </w:r>
      <w:proofErr w:type="spellEnd"/>
      <w:r w:rsidR="00B22730">
        <w:rPr>
          <w:rFonts w:ascii="Times New Roman" w:hAnsi="Times New Roman"/>
          <w:b/>
          <w:bCs/>
        </w:rPr>
        <w:tab/>
        <w:t xml:space="preserve">: </w:t>
      </w:r>
      <w:proofErr w:type="spellStart"/>
      <w:r w:rsidR="00B22730">
        <w:rPr>
          <w:rFonts w:ascii="Times New Roman" w:hAnsi="Times New Roman"/>
          <w:b/>
          <w:bCs/>
        </w:rPr>
        <w:t>Doktora</w:t>
      </w:r>
      <w:proofErr w:type="spellEnd"/>
    </w:p>
    <w:p w:rsidR="004F3C44" w:rsidRDefault="004F3C4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47" w:type="dxa"/>
        <w:tblInd w:w="-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0"/>
      </w:tblGrid>
      <w:tr w:rsidR="004F3C44" w:rsidTr="00356020">
        <w:trPr>
          <w:trHeight w:val="9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Derece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3C44" w:rsidRDefault="00B2273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Alan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3C44" w:rsidRDefault="00B2273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de-DE"/>
              </w:rPr>
              <w:t>Ü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niversite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3C44" w:rsidRDefault="00B2273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l</w:t>
            </w:r>
            <w:proofErr w:type="spellEnd"/>
          </w:p>
        </w:tc>
      </w:tr>
      <w:tr w:rsidR="004F3C44" w:rsidTr="00356020">
        <w:trPr>
          <w:trHeight w:val="5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HUKUK (LLB)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 xml:space="preserve">UNIVERSITY OF </w:t>
            </w:r>
            <w:r>
              <w:rPr>
                <w:sz w:val="22"/>
                <w:szCs w:val="22"/>
              </w:rPr>
              <w:t>DUNDEE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2011-2015</w:t>
            </w:r>
          </w:p>
        </w:tc>
      </w:tr>
      <w:tr w:rsidR="004F3C44" w:rsidTr="00356020">
        <w:trPr>
          <w:trHeight w:val="5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Y. </w:t>
            </w:r>
            <w:proofErr w:type="spellStart"/>
            <w:r>
              <w:rPr>
                <w:rFonts w:ascii="Times New Roman" w:hAnsi="Times New Roman"/>
              </w:rPr>
              <w:t>Lisans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KAMU HUKUKU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YAKIN DOĞU ÜNİVERSİTESİ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2016-2017</w:t>
            </w:r>
          </w:p>
        </w:tc>
      </w:tr>
      <w:tr w:rsidR="004F3C44" w:rsidTr="00356020">
        <w:trPr>
          <w:trHeight w:val="5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Doktora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KAMU HUKUKU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YAKIN DOĞU ÜNİVERSİTESİ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B"/>
            </w:pPr>
            <w:r>
              <w:rPr>
                <w:sz w:val="22"/>
                <w:szCs w:val="22"/>
              </w:rPr>
              <w:t>2017-2022</w:t>
            </w:r>
          </w:p>
        </w:tc>
      </w:tr>
    </w:tbl>
    <w:p w:rsidR="004F3C44" w:rsidRDefault="004F3C44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Akademik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Unvanlar</w:t>
      </w:r>
      <w:proofErr w:type="spellEnd"/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lang w:val="fr-FR"/>
        </w:rPr>
        <w:t>entlik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Tarihi</w:t>
      </w:r>
      <w:proofErr w:type="spellEnd"/>
      <w:r>
        <w:rPr>
          <w:rFonts w:ascii="Times New Roman" w:hAnsi="Times New Roman"/>
          <w:lang w:val="fr-FR"/>
        </w:rPr>
        <w:tab/>
        <w:t xml:space="preserve"> : EYL</w:t>
      </w:r>
      <w:r>
        <w:rPr>
          <w:rFonts w:ascii="Times New Roman" w:hAnsi="Times New Roman"/>
          <w:lang w:val="fr-FR"/>
        </w:rPr>
        <w:t>Ü</w:t>
      </w:r>
      <w:r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  <w:lang w:val="de-DE"/>
        </w:rPr>
        <w:t xml:space="preserve"> 2022</w:t>
      </w: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lang w:val="fr-FR"/>
        </w:rPr>
        <w:t>entlik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Tarihi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:</w:t>
      </w: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Profes</w:t>
      </w:r>
      <w:proofErr w:type="spellEnd"/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ü</w:t>
      </w:r>
      <w:proofErr w:type="spellEnd"/>
      <w:r>
        <w:rPr>
          <w:rFonts w:ascii="Times New Roman" w:hAnsi="Times New Roman"/>
          <w:lang w:val="fr-FR"/>
        </w:rPr>
        <w:t xml:space="preserve">k </w:t>
      </w:r>
      <w:proofErr w:type="spellStart"/>
      <w:r>
        <w:rPr>
          <w:rFonts w:ascii="Times New Roman" w:hAnsi="Times New Roman"/>
          <w:lang w:val="fr-FR"/>
        </w:rPr>
        <w:t>Tarihi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:</w:t>
      </w: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6. </w:t>
      </w:r>
      <w:r>
        <w:rPr>
          <w:rFonts w:ascii="Times New Roman" w:hAnsi="Times New Roman"/>
          <w:b/>
          <w:bCs/>
          <w:lang w:val="en-US"/>
        </w:rPr>
        <w:tab/>
        <w:t>Y</w:t>
      </w:r>
      <w:r>
        <w:rPr>
          <w:rFonts w:ascii="Times New Roman" w:hAnsi="Times New Roman"/>
          <w:b/>
          <w:bCs/>
          <w:lang w:val="sv-SE"/>
        </w:rPr>
        <w:t>ö</w:t>
      </w:r>
      <w:proofErr w:type="spellStart"/>
      <w:r>
        <w:rPr>
          <w:rFonts w:ascii="Times New Roman" w:hAnsi="Times New Roman"/>
          <w:b/>
          <w:bCs/>
        </w:rPr>
        <w:t>netilen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ksek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Lisans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Doktora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Tezleri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6.1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Tezleri</w:t>
      </w:r>
      <w:proofErr w:type="spellEnd"/>
      <w:r>
        <w:rPr>
          <w:rFonts w:ascii="Times New Roman" w:hAnsi="Times New Roman"/>
        </w:rPr>
        <w:t xml:space="preserve"> 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Nimet</w:t>
      </w:r>
      <w:proofErr w:type="spellEnd"/>
      <w:r>
        <w:rPr>
          <w:rFonts w:ascii="Times New Roman" w:hAnsi="Times New Roman"/>
        </w:rPr>
        <w:t xml:space="preserve"> Kara, </w:t>
      </w:r>
      <w:proofErr w:type="spellStart"/>
      <w:r>
        <w:rPr>
          <w:rFonts w:ascii="Times New Roman" w:hAnsi="Times New Roman"/>
        </w:rPr>
        <w:t>Yapay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Hukuk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Dinara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Shirzanova</w:t>
      </w:r>
      <w:proofErr w:type="spellEnd"/>
      <w:r>
        <w:rPr>
          <w:rFonts w:ascii="Times New Roman" w:hAnsi="Times New Roman"/>
        </w:rPr>
        <w:t xml:space="preserve">, KKTC </w:t>
      </w:r>
      <w:proofErr w:type="spellStart"/>
      <w:r>
        <w:rPr>
          <w:rFonts w:ascii="Times New Roman" w:hAnsi="Times New Roman"/>
        </w:rPr>
        <w:t>Ceza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Hukuku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proofErr w:type="spellEnd"/>
    </w:p>
    <w:p w:rsidR="004F3C44" w:rsidRDefault="004F3C44">
      <w:pPr>
        <w:pStyle w:val="BodyA"/>
        <w:tabs>
          <w:tab w:val="left" w:pos="1648"/>
        </w:tabs>
        <w:spacing w:after="0" w:line="240" w:lineRule="auto"/>
        <w:ind w:firstLine="708"/>
      </w:pP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6.2. </w:t>
      </w:r>
      <w:proofErr w:type="spellStart"/>
      <w:r>
        <w:rPr>
          <w:rFonts w:ascii="Times New Roman" w:hAnsi="Times New Roman"/>
        </w:rPr>
        <w:t>Doktora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Tezleri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/>
        </w:rPr>
        <w:t>Ye</w:t>
      </w:r>
      <w:r>
        <w:rPr>
          <w:rFonts w:ascii="Times New Roman" w:hAnsi="Times New Roman"/>
        </w:rPr>
        <w:t>ş</w:t>
      </w:r>
      <w:proofErr w:type="spellEnd"/>
      <w:r>
        <w:rPr>
          <w:rFonts w:ascii="Times New Roman" w:hAnsi="Times New Roman"/>
          <w:lang w:val="de-DE"/>
        </w:rPr>
        <w:t>im Garipo</w:t>
      </w:r>
      <w:proofErr w:type="spellStart"/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e-DE"/>
        </w:rPr>
        <w:t>zen, G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veni</w:t>
      </w:r>
      <w:proofErr w:type="spell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u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Yahya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ilo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Muahekemesi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Temyiz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  <w:rPr>
          <w:lang w:val="es-ES_tradnl"/>
        </w:rPr>
      </w:pPr>
      <w:proofErr w:type="spellStart"/>
      <w:r>
        <w:rPr>
          <w:rFonts w:ascii="Times New Roman" w:hAnsi="Times New Roman"/>
          <w:lang w:val="es-ES_tradnl"/>
        </w:rPr>
        <w:t>Sevil</w:t>
      </w:r>
      <w:proofErr w:type="spellEnd"/>
      <w:r>
        <w:rPr>
          <w:rFonts w:ascii="Times New Roman" w:hAnsi="Times New Roman"/>
          <w:lang w:val="es-ES_tradnl"/>
        </w:rPr>
        <w:t xml:space="preserve"> Y</w:t>
      </w:r>
      <w:proofErr w:type="spellStart"/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Avukatlar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  <w:lang w:val="de-DE"/>
        </w:rPr>
        <w:t>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rev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Serdar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Mutta</w:t>
      </w:r>
      <w:proofErr w:type="spellEnd"/>
      <w:r>
        <w:rPr>
          <w:rFonts w:ascii="Times New Roman" w:hAnsi="Times New Roman"/>
        </w:rPr>
        <w:t>, CMK</w:t>
      </w:r>
      <w:r>
        <w:rPr>
          <w:rFonts w:ascii="Arial Unicode MS" w:hAnsi="Arial Unicode MS"/>
          <w:rtl/>
        </w:rPr>
        <w:t>’</w:t>
      </w: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Adli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mleri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Mustafa </w:t>
      </w:r>
      <w:proofErr w:type="spellStart"/>
      <w:r>
        <w:rPr>
          <w:rFonts w:ascii="Times New Roman" w:hAnsi="Times New Roman"/>
        </w:rPr>
        <w:t>Kurtaran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Yard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  <w:lang w:val="de-DE"/>
        </w:rPr>
        <w:t>m Su</w:t>
      </w:r>
      <w:proofErr w:type="spellStart"/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u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Mustafa </w:t>
      </w:r>
      <w:proofErr w:type="spellStart"/>
      <w:r>
        <w:rPr>
          <w:rFonts w:ascii="Times New Roman" w:hAnsi="Times New Roman"/>
        </w:rPr>
        <w:t>Artu</w:t>
      </w:r>
      <w:r>
        <w:rPr>
          <w:rFonts w:ascii="Times New Roman" w:hAnsi="Times New Roman"/>
        </w:rPr>
        <w:t>ç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  <w:lang w:val="de-DE"/>
        </w:rPr>
        <w:t xml:space="preserve">n Geri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Murat </w:t>
      </w:r>
      <w:proofErr w:type="spellStart"/>
      <w:r>
        <w:rPr>
          <w:rFonts w:ascii="Times New Roman" w:hAnsi="Times New Roman"/>
        </w:rPr>
        <w:t>Atan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Cezan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  <w:lang w:val="pt-PT"/>
        </w:rPr>
        <w:t>nfaz</w:t>
      </w:r>
      <w:proofErr w:type="spellStart"/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Topluma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Kazand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Fonksiyonu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Kapsam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yurtlar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Kurumu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Feyza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Hukukunda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Altan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Fatih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Hukukunda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Erol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</w:t>
      </w:r>
      <w:proofErr w:type="spellEnd"/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 xml:space="preserve">ye </w:t>
      </w:r>
      <w:proofErr w:type="spellStart"/>
      <w:r>
        <w:rPr>
          <w:rFonts w:ascii="Times New Roman" w:hAnsi="Times New Roman"/>
        </w:rPr>
        <w:t>Olmamakla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Su</w:t>
      </w:r>
      <w:r>
        <w:rPr>
          <w:rFonts w:ascii="Times New Roman" w:hAnsi="Times New Roman"/>
        </w:rPr>
        <w:t>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leme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u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Mehmet </w:t>
      </w:r>
      <w:proofErr w:type="spellStart"/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Ertelenmesi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klanmas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Geri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esseselerinin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proofErr w:type="spellEnd"/>
    </w:p>
    <w:p w:rsidR="004F3C44" w:rsidRDefault="00B22730">
      <w:pPr>
        <w:pStyle w:val="BodyA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</w:rPr>
        <w:t>Hatice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Demirta</w:t>
      </w:r>
      <w:r>
        <w:rPr>
          <w:rFonts w:ascii="Times New Roman" w:hAnsi="Times New Roman"/>
        </w:rPr>
        <w:t>ş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Hukukunda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Haklar</w:t>
      </w:r>
      <w:r>
        <w:rPr>
          <w:rFonts w:ascii="Times New Roman" w:hAnsi="Times New Roman"/>
        </w:rPr>
        <w:t>ı</w:t>
      </w:r>
      <w:proofErr w:type="spellEnd"/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proofErr w:type="spellStart"/>
      <w:r>
        <w:rPr>
          <w:rFonts w:ascii="Times New Roman" w:hAnsi="Times New Roman"/>
          <w:b/>
          <w:bCs/>
        </w:rPr>
        <w:t>Yay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nlar</w:t>
      </w:r>
      <w:proofErr w:type="spellEnd"/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7.1. </w:t>
      </w:r>
      <w:proofErr w:type="spellStart"/>
      <w:r>
        <w:rPr>
          <w:rFonts w:ascii="Times New Roman" w:hAnsi="Times New Roman"/>
        </w:rPr>
        <w:t>Uluslararas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hakemli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dergilerde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makaleler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SCI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,SSCI,Arts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and Humanities)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Erdal</w:t>
      </w:r>
      <w:proofErr w:type="spellEnd"/>
      <w:r>
        <w:rPr>
          <w:rFonts w:ascii="Times New Roman" w:hAnsi="Times New Roman"/>
          <w:sz w:val="24"/>
          <w:szCs w:val="24"/>
        </w:rPr>
        <w:t xml:space="preserve">, Muhammed/ 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Administrative Discretion In Terms of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Elements of the Administrative Procedure in Turkish Law, International Journal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24"/>
          <w:szCs w:val="24"/>
          <w:lang w:val="fr-FR"/>
        </w:rPr>
        <w:t>Economic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 Perspectives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>, (IJEP, ISSN: 1307-1673) V.11, Issue 3, (September 2017).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7.2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Uluslararas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hakemli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dergilerde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makaleler</w:t>
      </w:r>
      <w:proofErr w:type="spellEnd"/>
    </w:p>
    <w:p w:rsidR="00356020" w:rsidRDefault="00356020" w:rsidP="0035602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Kuzey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Kıbrısa</w:t>
      </w:r>
      <w:proofErr w:type="spellEnd"/>
      <w:r>
        <w:rPr>
          <w:rFonts w:ascii="Arial Unicode MS" w:hAnsi="Arial Unicode MS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taki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İcra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Uygulamalarının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Hukukun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stünlüğü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Arama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Özgürlüğü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Işığı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>nda De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ğerlendirilmesi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,T</w:t>
      </w:r>
      <w:proofErr w:type="spellStart"/>
      <w:r>
        <w:rPr>
          <w:rFonts w:ascii="Times New Roman" w:hAnsi="Times New Roman"/>
          <w:sz w:val="24"/>
          <w:szCs w:val="24"/>
        </w:rPr>
        <w:t>ürkiye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(2018), S. 134, 9-36.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Özde</w:t>
      </w:r>
      <w:proofErr w:type="spellEnd"/>
      <w:r>
        <w:rPr>
          <w:rFonts w:ascii="Times New Roman" w:hAnsi="Times New Roman"/>
          <w:sz w:val="24"/>
          <w:szCs w:val="24"/>
        </w:rPr>
        <w:t xml:space="preserve">, Arman, </w:t>
      </w:r>
      <w:proofErr w:type="spellStart"/>
      <w:r>
        <w:rPr>
          <w:rFonts w:ascii="Times New Roman" w:hAnsi="Times New Roman"/>
          <w:sz w:val="24"/>
          <w:szCs w:val="24"/>
        </w:rPr>
        <w:t>Perçem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Avrupa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İnsan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Hakları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Mahkemesi</w:t>
      </w:r>
      <w:proofErr w:type="spellEnd"/>
      <w:r>
        <w:rPr>
          <w:rFonts w:ascii="Arial Unicode MS" w:hAnsi="Arial Unicode MS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Kıbrısla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İlgili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Verdiği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Kararların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KKTC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Türkiye</w:t>
      </w:r>
      <w:proofErr w:type="spellEnd"/>
      <w:r>
        <w:rPr>
          <w:rFonts w:ascii="Arial Unicode MS" w:hAnsi="Arial Unicode MS"/>
          <w:sz w:val="24"/>
          <w:szCs w:val="24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ye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Etkisi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Türkiye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(2018), S. 136, 293-326.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Protection of Civil Liberties and Human Rights Under the Laws of United Kingdom, Turkey and Turkish Republic of Northern Cyprus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>, Yak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(2018), C. 1, S. 1, 215-243.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Birle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>mi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Milletler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nlara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şı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a-DK"/>
        </w:rPr>
        <w:t xml:space="preserve"> Her 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r>
        <w:rPr>
          <w:rFonts w:ascii="Times New Roman" w:hAnsi="Times New Roman"/>
          <w:i/>
          <w:iCs/>
          <w:sz w:val="24"/>
          <w:szCs w:val="24"/>
        </w:rPr>
        <w:t xml:space="preserve"> Ayr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mc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l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ığı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Ortadan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Kald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r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lmas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 xml:space="preserve">me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Genel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erlendirme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</w:rPr>
        <w:t>Yak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>, (2018), Y. 1, S. 2, 107-137.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lelik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Kulluk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Yasa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ğı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n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Avrupa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İ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Mahkemesi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Kararlar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şığı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>nda De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erlendirilmesi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Eyl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ş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Tezcan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pt-PT"/>
        </w:rPr>
        <w:t>a Arma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an, (2019) C. 21,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zel</w:t>
      </w:r>
      <w:proofErr w:type="spellEnd"/>
      <w:r>
        <w:rPr>
          <w:rFonts w:ascii="Times New Roman" w:hAnsi="Times New Roman"/>
          <w:sz w:val="24"/>
          <w:szCs w:val="24"/>
        </w:rPr>
        <w:t xml:space="preserve"> Say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>, 2583-2628.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Bulut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Bili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m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Arama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Elkoymaya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İ</w:t>
      </w:r>
      <w:r>
        <w:rPr>
          <w:rFonts w:ascii="Times New Roman" w:hAnsi="Times New Roman"/>
          <w:i/>
          <w:iCs/>
          <w:sz w:val="24"/>
          <w:szCs w:val="24"/>
        </w:rPr>
        <w:t>li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>kin H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mlerin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Uygulanabilirli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(2019), C. 14, S. 39, 161-202.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7. Arman, Per</w:t>
      </w:r>
      <w:r>
        <w:rPr>
          <w:rFonts w:ascii="Times New Roman" w:hAnsi="Times New Roman"/>
          <w:sz w:val="24"/>
          <w:szCs w:val="24"/>
          <w:lang w:val="en-US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>, Per</w:t>
      </w:r>
      <w:r>
        <w:rPr>
          <w:rFonts w:ascii="Times New Roman" w:hAnsi="Times New Roman"/>
          <w:sz w:val="24"/>
          <w:szCs w:val="24"/>
          <w:lang w:val="en-US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Avrupa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İ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şığı</w:t>
      </w:r>
      <w:r>
        <w:rPr>
          <w:rFonts w:ascii="Times New Roman" w:hAnsi="Times New Roman"/>
          <w:i/>
          <w:iCs/>
          <w:sz w:val="24"/>
          <w:szCs w:val="24"/>
        </w:rPr>
        <w:t>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Kuzey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br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s 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Cumhuriyeti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Adil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Yarg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lanma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Hakk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n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>n De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erlendirilmesi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(2020), S. 2017, 1053-1093.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Ceza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Muhakemesinde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irket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netimi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İç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Kayy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Tayini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(CMK. m. 133)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(2020), S. 214, 4615-4647.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H.L.A. Hart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“Minimum Content of Natural Law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İ</w:t>
      </w:r>
      <w:proofErr w:type="spellStart"/>
      <w:r>
        <w:rPr>
          <w:rFonts w:ascii="Times New Roman" w:hAnsi="Times New Roman"/>
          <w:sz w:val="24"/>
          <w:szCs w:val="24"/>
        </w:rPr>
        <w:t>stanbul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Medipol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(2020), (Bas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>m Y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>l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2021) C. 7, S. 2, 119-130.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Yakalama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zalt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ğ</w:t>
      </w:r>
      <w:r>
        <w:rPr>
          <w:rFonts w:ascii="Times New Roman" w:hAnsi="Times New Roman"/>
          <w:i/>
          <w:iCs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Zarar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şı</w:t>
      </w:r>
      <w:r>
        <w:rPr>
          <w:rFonts w:ascii="Times New Roman" w:hAnsi="Times New Roman"/>
          <w:i/>
          <w:iCs/>
          <w:sz w:val="24"/>
          <w:szCs w:val="24"/>
        </w:rPr>
        <w:t>lanmas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 xml:space="preserve">, (2021), S. 218, 737-761. 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11. Arman, Per</w:t>
      </w:r>
      <w:r>
        <w:rPr>
          <w:rFonts w:ascii="Times New Roman" w:hAnsi="Times New Roman"/>
          <w:sz w:val="24"/>
          <w:szCs w:val="24"/>
          <w:lang w:val="en-US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nelik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İç</w:t>
      </w:r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iddetin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nlenmesi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İ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stanbul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 xml:space="preserve">, (2021), S. 228, 5421-5486. 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>/Arman, Per</w:t>
      </w:r>
      <w:r>
        <w:rPr>
          <w:rFonts w:ascii="Times New Roman" w:hAnsi="Times New Roman"/>
          <w:sz w:val="24"/>
          <w:szCs w:val="24"/>
          <w:lang w:val="en-US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Birle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>mi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Milletler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nlara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şı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a-DK"/>
        </w:rPr>
        <w:t xml:space="preserve"> Her 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r>
        <w:rPr>
          <w:rFonts w:ascii="Times New Roman" w:hAnsi="Times New Roman"/>
          <w:i/>
          <w:iCs/>
          <w:sz w:val="24"/>
          <w:szCs w:val="24"/>
        </w:rPr>
        <w:t xml:space="preserve"> Ayr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mc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l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ığı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Ortadan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Kald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r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lmas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zle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Terazi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(2021), C. 16, S. 173, 39-49.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13. 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şı</w:t>
      </w:r>
      <w:proofErr w:type="spellEnd"/>
      <w:r>
        <w:rPr>
          <w:rFonts w:ascii="Times New Roman" w:hAnsi="Times New Roman"/>
          <w:sz w:val="24"/>
          <w:szCs w:val="24"/>
        </w:rPr>
        <w:t>k, Tuan/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Avrupa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İ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Mahkemesi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Kararlar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şığı</w:t>
      </w:r>
      <w:r>
        <w:rPr>
          <w:rFonts w:ascii="Times New Roman" w:hAnsi="Times New Roman"/>
          <w:i/>
          <w:iCs/>
          <w:sz w:val="24"/>
          <w:szCs w:val="24"/>
        </w:rPr>
        <w:t>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Avukat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rolar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Arama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Elkoyma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(2021), C. 16, S. 175, 525-539.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Dereboylular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Kuzey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Kıbrıs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Tutuklama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Hakları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zleşmesi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Işığı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nda De</w:t>
      </w:r>
      <w:proofErr w:type="spellStart"/>
      <w:r>
        <w:rPr>
          <w:rFonts w:ascii="Times New Roman" w:hAnsi="Times New Roman"/>
          <w:sz w:val="24"/>
          <w:szCs w:val="24"/>
        </w:rPr>
        <w:t>ğerlendirilmesi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Türkiye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S. 162, (2022), 368-414.</w:t>
      </w:r>
    </w:p>
    <w:p w:rsidR="00356020" w:rsidRDefault="00356020" w:rsidP="0035602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15. </w:t>
      </w:r>
      <w:proofErr w:type="spellStart"/>
      <w:r>
        <w:rPr>
          <w:rFonts w:ascii="Times New Roman" w:hAnsi="Times New Roman"/>
          <w:sz w:val="24"/>
          <w:szCs w:val="24"/>
        </w:rPr>
        <w:t>Yeşiloğlu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Yahya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Dereboylular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Bayraktar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Özde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Ceza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Muhakemesi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Kanununda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Telekomünikasyon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Yoluyla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Yapılan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İletişimin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Denetlenmesi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Yargıtay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>, C. 49, S. 1, (2023), 55-89.</w:t>
      </w:r>
    </w:p>
    <w:p w:rsidR="00356020" w:rsidRDefault="00356020" w:rsidP="00356020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7.3. </w:t>
      </w:r>
      <w:proofErr w:type="spellStart"/>
      <w:r>
        <w:rPr>
          <w:rFonts w:ascii="Times New Roman" w:hAnsi="Times New Roman"/>
        </w:rPr>
        <w:t>Uluslararas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bilimsel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toplant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bildiriler</w:t>
      </w:r>
      <w:proofErr w:type="spellEnd"/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</w:t>
      </w:r>
      <w:proofErr w:type="spellStart"/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uluslararas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kitaplar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kitaplarda</w:t>
      </w:r>
      <w:proofErr w:type="spellEnd"/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mler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</w:t>
      </w:r>
      <w:proofErr w:type="spellStart"/>
      <w:r>
        <w:rPr>
          <w:rFonts w:ascii="Times New Roman" w:hAnsi="Times New Roman"/>
        </w:rPr>
        <w:t>Ulusal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hakemli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dergilerde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makaleler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7.6. </w:t>
      </w:r>
      <w:proofErr w:type="spellStart"/>
      <w:r>
        <w:rPr>
          <w:rFonts w:ascii="Times New Roman" w:hAnsi="Times New Roman"/>
        </w:rPr>
        <w:t>Ulusal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bilimsel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toplant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bildiriler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/>
        </w:rPr>
        <w:t>Kuzey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ta</w:t>
      </w:r>
      <w:proofErr w:type="spellEnd"/>
      <w:r>
        <w:rPr>
          <w:rFonts w:ascii="Times New Roman" w:hAnsi="Times New Roman"/>
        </w:rPr>
        <w:t xml:space="preserve"> Kad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</w:rPr>
        <w:t>Haklar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erlendirme</w:t>
      </w:r>
      <w:proofErr w:type="spellEnd"/>
      <w:r>
        <w:rPr>
          <w:rFonts w:ascii="Times New Roman" w:hAnsi="Times New Roman"/>
        </w:rPr>
        <w:t xml:space="preserve"> (8 Mart 2022)</w:t>
      </w:r>
    </w:p>
    <w:p w:rsidR="004F3C44" w:rsidRDefault="004F3C44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7.7. </w:t>
      </w:r>
      <w:r>
        <w:rPr>
          <w:rFonts w:ascii="Times New Roman" w:hAnsi="Times New Roman"/>
          <w:lang w:val="de-DE"/>
        </w:rPr>
        <w:t>Di</w:t>
      </w:r>
      <w:proofErr w:type="spellStart"/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nlar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Projeler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4F3C4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</w:rPr>
        <w:t>dari</w:t>
      </w:r>
      <w:proofErr w:type="spellEnd"/>
      <w:r>
        <w:rPr>
          <w:rFonts w:ascii="Times New Roman" w:hAnsi="Times New Roman"/>
          <w:b/>
          <w:bCs/>
        </w:rPr>
        <w:t xml:space="preserve"> G</w:t>
      </w:r>
      <w:r>
        <w:rPr>
          <w:rFonts w:ascii="Times New Roman" w:hAnsi="Times New Roman"/>
          <w:b/>
          <w:bCs/>
          <w:lang w:val="sv-SE"/>
        </w:rPr>
        <w:t>ö</w:t>
      </w:r>
      <w:proofErr w:type="spellStart"/>
      <w:r>
        <w:rPr>
          <w:rFonts w:ascii="Times New Roman" w:hAnsi="Times New Roman"/>
          <w:b/>
          <w:bCs/>
        </w:rPr>
        <w:t>revler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Yak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Yay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n Koordinat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  <w:lang w:val="en-US"/>
        </w:rPr>
        <w:t>üğü</w:t>
      </w:r>
      <w:proofErr w:type="spellEnd"/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Yak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Ba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ğı</w:t>
      </w:r>
      <w:proofErr w:type="spellEnd"/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ü</w:t>
      </w:r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Yak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r>
        <w:rPr>
          <w:rFonts w:ascii="Times New Roman" w:hAnsi="Times New Roman"/>
          <w:sz w:val="24"/>
          <w:szCs w:val="24"/>
          <w:lang w:val="en-US"/>
        </w:rPr>
        <w:t>ğ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Hukuku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ksek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Doktora</w:t>
      </w:r>
      <w:proofErr w:type="spellEnd"/>
      <w:r>
        <w:rPr>
          <w:rFonts w:ascii="Times New Roman" w:hAnsi="Times New Roman"/>
          <w:sz w:val="24"/>
          <w:szCs w:val="24"/>
        </w:rPr>
        <w:t xml:space="preserve"> Ba</w:t>
      </w:r>
      <w:r>
        <w:rPr>
          <w:rFonts w:ascii="Times New Roman" w:hAnsi="Times New Roman"/>
          <w:sz w:val="24"/>
          <w:szCs w:val="24"/>
          <w:lang w:val="en-US"/>
        </w:rPr>
        <w:t>ş</w:t>
      </w:r>
      <w:proofErr w:type="spellStart"/>
      <w:r>
        <w:rPr>
          <w:rFonts w:ascii="Times New Roman" w:hAnsi="Times New Roman"/>
          <w:sz w:val="24"/>
          <w:szCs w:val="24"/>
        </w:rPr>
        <w:t>vurular</w:t>
      </w:r>
      <w:r>
        <w:rPr>
          <w:rFonts w:ascii="Times New Roman" w:hAnsi="Times New Roman"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İ</w:t>
      </w:r>
      <w:proofErr w:type="spellStart"/>
      <w:r>
        <w:rPr>
          <w:rFonts w:ascii="Times New Roman" w:hAnsi="Times New Roman"/>
          <w:sz w:val="24"/>
          <w:szCs w:val="24"/>
        </w:rPr>
        <w:t>nceleme</w:t>
      </w:r>
      <w:proofErr w:type="spellEnd"/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z w:val="24"/>
          <w:szCs w:val="24"/>
          <w:lang w:val="en-US"/>
        </w:rPr>
        <w:t>ğ</w:t>
      </w:r>
      <w:proofErr w:type="spellStart"/>
      <w:r>
        <w:rPr>
          <w:rFonts w:ascii="Times New Roman" w:hAnsi="Times New Roman"/>
          <w:sz w:val="24"/>
          <w:szCs w:val="24"/>
        </w:rPr>
        <w:t>erlendirme</w:t>
      </w:r>
      <w:proofErr w:type="spellEnd"/>
    </w:p>
    <w:p w:rsidR="004F3C44" w:rsidRDefault="004F3C4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Bilimsel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Mesleki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Kurulu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lara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>Ü</w:t>
      </w:r>
      <w:proofErr w:type="spellStart"/>
      <w:r>
        <w:rPr>
          <w:rFonts w:ascii="Times New Roman" w:hAnsi="Times New Roman"/>
          <w:b/>
          <w:bCs/>
        </w:rPr>
        <w:t>yelikler</w:t>
      </w:r>
      <w:proofErr w:type="spellEnd"/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4F3C44" w:rsidRDefault="00B2273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ü</w:t>
      </w:r>
      <w:proofErr w:type="spellEnd"/>
      <w:r>
        <w:rPr>
          <w:rFonts w:ascii="Times New Roman" w:hAnsi="Times New Roman"/>
          <w:b/>
          <w:bCs/>
          <w:lang w:val="da-DK"/>
        </w:rPr>
        <w:t xml:space="preserve">ller </w:t>
      </w:r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F3C44" w:rsidRDefault="00B2273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n Do</w:t>
      </w:r>
      <w:proofErr w:type="spellStart"/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lleri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z w:val="24"/>
          <w:szCs w:val="24"/>
        </w:rPr>
        <w:t>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rmac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proofErr w:type="spellEnd"/>
    </w:p>
    <w:p w:rsidR="004F3C44" w:rsidRDefault="004F3C4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ab/>
        <w:t xml:space="preserve">Son </w:t>
      </w:r>
      <w:proofErr w:type="spellStart"/>
      <w:r>
        <w:rPr>
          <w:rFonts w:ascii="Times New Roman" w:hAnsi="Times New Roman"/>
          <w:b/>
          <w:bCs/>
        </w:rPr>
        <w:t>iki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lda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verdi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</w:rPr>
        <w:t>iniz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lisans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lisans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</w:rPr>
        <w:t>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zeydeki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dersler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ç</w:t>
      </w:r>
      <w:r>
        <w:rPr>
          <w:rFonts w:ascii="Times New Roman" w:hAnsi="Times New Roman"/>
          <w:b/>
          <w:bCs/>
        </w:rPr>
        <w:t>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ğı</w:t>
      </w:r>
      <w:r>
        <w:rPr>
          <w:rFonts w:ascii="Times New Roman" w:hAnsi="Times New Roman"/>
          <w:b/>
          <w:bCs/>
        </w:rPr>
        <w:t>daki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tabloyu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doldurunuz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:rsidR="004F3C44" w:rsidRDefault="004F3C44">
      <w:pPr>
        <w:pStyle w:val="BodyA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1"/>
        <w:gridCol w:w="1493"/>
      </w:tblGrid>
      <w:tr w:rsidR="004F3C44">
        <w:trPr>
          <w:trHeight w:val="271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Akademik</w:t>
            </w:r>
            <w:proofErr w:type="spellEnd"/>
          </w:p>
          <w:p w:rsidR="004F3C44" w:rsidRDefault="00B2273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l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nem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Ad</w:t>
            </w:r>
            <w:r>
              <w:rPr>
                <w:rFonts w:ascii="Times New Roman" w:hAnsi="Times New Roman"/>
                <w:b/>
                <w:bCs/>
              </w:rPr>
              <w:t>ı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Haftal</w:t>
            </w:r>
            <w:r>
              <w:rPr>
                <w:rFonts w:ascii="Times New Roman" w:hAnsi="Times New Roman"/>
                <w:b/>
                <w:bCs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Saati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Öğ</w:t>
            </w:r>
            <w:r>
              <w:rPr>
                <w:rFonts w:ascii="Times New Roman" w:hAnsi="Times New Roman"/>
                <w:b/>
                <w:bCs/>
              </w:rPr>
              <w:t>renci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Say</w:t>
            </w:r>
            <w:r>
              <w:rPr>
                <w:rFonts w:ascii="Times New Roman" w:hAnsi="Times New Roman"/>
                <w:b/>
                <w:bCs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ı</w:t>
            </w:r>
            <w:proofErr w:type="spellEnd"/>
          </w:p>
        </w:tc>
      </w:tr>
      <w:tr w:rsidR="004F3C44">
        <w:trPr>
          <w:trHeight w:val="619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44" w:rsidRDefault="004F3C44"/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44" w:rsidRDefault="004F3C44"/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44" w:rsidRDefault="004F3C4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Teorik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Uygulama</w:t>
            </w:r>
            <w:proofErr w:type="spellEnd"/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44" w:rsidRDefault="004F3C44"/>
        </w:tc>
      </w:tr>
      <w:tr w:rsidR="004F3C44">
        <w:trPr>
          <w:trHeight w:val="38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spacing w:after="20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2021-22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1- KMH 204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2-  HUK 207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 I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3- ILW 205 CRIMINAL LAW 1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4-ILW401 CRIMINAL PROCEDURE LAW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4F3C44">
        <w:trPr>
          <w:trHeight w:val="317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spacing w:after="20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2021-22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BAHAR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1- KMH204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2- HUK 208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 II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3-ILW 206 CRIMINAL LAW II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4F3C44">
        <w:trPr>
          <w:trHeight w:val="258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spacing w:after="20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2022-23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1- KMH 204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2- HUK 207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 II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3- ILW206 </w:t>
            </w:r>
            <w:r>
              <w:rPr>
                <w:rFonts w:ascii="Calibri" w:hAnsi="Calibri"/>
                <w:sz w:val="22"/>
                <w:szCs w:val="22"/>
              </w:rPr>
              <w:t>HUK 208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4F3C44">
        <w:trPr>
          <w:trHeight w:val="284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spacing w:after="20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2022-23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BAHAR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1- KMH 204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2- HUK 208 CEZA HUKUKU (GENEL H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r>
              <w:rPr>
                <w:rFonts w:ascii="Calibri" w:hAnsi="Calibri"/>
                <w:sz w:val="22"/>
                <w:szCs w:val="22"/>
              </w:rPr>
              <w:t>MLER) II</w:t>
            </w: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3- ILW206 CRIMINAL LAW II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  <w:p w:rsidR="004F3C44" w:rsidRDefault="004F3C44">
            <w:pPr>
              <w:pStyle w:val="BodyC"/>
              <w:jc w:val="center"/>
            </w:pPr>
          </w:p>
          <w:p w:rsidR="004F3C44" w:rsidRDefault="004F3C44">
            <w:pPr>
              <w:pStyle w:val="BodyC"/>
              <w:jc w:val="center"/>
            </w:pPr>
          </w:p>
          <w:p w:rsidR="004F3C44" w:rsidRDefault="00B22730">
            <w:pPr>
              <w:pStyle w:val="BodyC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4F3C44">
        <w:trPr>
          <w:trHeight w:val="810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spacing w:after="200" w:line="276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2023-24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 HUK 207 CEZA HUKUKU (GENEL H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MLER) 1</w:t>
            </w: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 HUK 208 CEZA HUKUKU (GENEL H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MLER) II</w:t>
            </w: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 ILW 205 CRIMINAL LAW 1</w:t>
            </w: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4-KMH520 ULUSLARARASI CEZA HUKUKUNUN TEMEL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LKELER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5- KMH 204 CEZA HUKUKU (GENEL H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MLER)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4F3C4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4F3C44">
            <w:pPr>
              <w:jc w:val="center"/>
            </w:pPr>
          </w:p>
          <w:p w:rsidR="004F3C44" w:rsidRDefault="00B2273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</w:tbl>
    <w:p w:rsidR="004F3C44" w:rsidRDefault="004F3C44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4F3C44" w:rsidRDefault="004F3C44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3C44" w:rsidRDefault="00B22730">
      <w:pPr>
        <w:pStyle w:val="BodyA"/>
        <w:spacing w:after="0" w:line="240" w:lineRule="auto"/>
      </w:pPr>
      <w:r>
        <w:rPr>
          <w:rFonts w:ascii="Times New Roman" w:hAnsi="Times New Roman"/>
          <w:b/>
          <w:bCs/>
          <w:lang w:val="en-US"/>
        </w:rPr>
        <w:t>Not: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çı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yaz</w:t>
      </w:r>
      <w:proofErr w:type="spellEnd"/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neminde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dersler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tabloya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edilecektir</w:t>
      </w:r>
      <w:proofErr w:type="spellEnd"/>
      <w:r>
        <w:rPr>
          <w:rFonts w:ascii="Times New Roman" w:hAnsi="Times New Roman"/>
        </w:rPr>
        <w:t>.</w:t>
      </w:r>
    </w:p>
    <w:sectPr w:rsidR="004F3C4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30" w:rsidRDefault="00B22730">
      <w:r>
        <w:separator/>
      </w:r>
    </w:p>
  </w:endnote>
  <w:endnote w:type="continuationSeparator" w:id="0">
    <w:p w:rsidR="00B22730" w:rsidRDefault="00B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4" w:rsidRDefault="004F3C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30" w:rsidRDefault="00B22730">
      <w:r>
        <w:separator/>
      </w:r>
    </w:p>
  </w:footnote>
  <w:footnote w:type="continuationSeparator" w:id="0">
    <w:p w:rsidR="00B22730" w:rsidRDefault="00B2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4" w:rsidRDefault="004F3C4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F61"/>
    <w:multiLevelType w:val="hybridMultilevel"/>
    <w:tmpl w:val="DDBADBBE"/>
    <w:numStyleLink w:val="Numbered0"/>
  </w:abstractNum>
  <w:abstractNum w:abstractNumId="1" w15:restartNumberingAfterBreak="0">
    <w:nsid w:val="4F024829"/>
    <w:multiLevelType w:val="hybridMultilevel"/>
    <w:tmpl w:val="B60C8532"/>
    <w:numStyleLink w:val="Numbered"/>
  </w:abstractNum>
  <w:abstractNum w:abstractNumId="2" w15:restartNumberingAfterBreak="0">
    <w:nsid w:val="5F2D01C7"/>
    <w:multiLevelType w:val="hybridMultilevel"/>
    <w:tmpl w:val="B60C8532"/>
    <w:styleLink w:val="Numbered"/>
    <w:lvl w:ilvl="0" w:tplc="762ACD02">
      <w:start w:val="1"/>
      <w:numFmt w:val="decimal"/>
      <w:lvlText w:val="%1."/>
      <w:lvlJc w:val="left"/>
      <w:pPr>
        <w:tabs>
          <w:tab w:val="num" w:pos="1648"/>
        </w:tabs>
        <w:ind w:left="9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0B010">
      <w:start w:val="1"/>
      <w:numFmt w:val="decimal"/>
      <w:lvlText w:val="%2."/>
      <w:lvlJc w:val="left"/>
      <w:pPr>
        <w:tabs>
          <w:tab w:val="left" w:pos="1648"/>
          <w:tab w:val="num" w:pos="2448"/>
        </w:tabs>
        <w:ind w:left="17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8D5EC">
      <w:start w:val="1"/>
      <w:numFmt w:val="decimal"/>
      <w:lvlText w:val="%3."/>
      <w:lvlJc w:val="left"/>
      <w:pPr>
        <w:tabs>
          <w:tab w:val="left" w:pos="1648"/>
          <w:tab w:val="num" w:pos="3248"/>
        </w:tabs>
        <w:ind w:left="25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00D50">
      <w:start w:val="1"/>
      <w:numFmt w:val="decimal"/>
      <w:lvlText w:val="%4."/>
      <w:lvlJc w:val="left"/>
      <w:pPr>
        <w:tabs>
          <w:tab w:val="left" w:pos="1648"/>
          <w:tab w:val="num" w:pos="4048"/>
        </w:tabs>
        <w:ind w:left="33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AC04C">
      <w:start w:val="1"/>
      <w:numFmt w:val="decimal"/>
      <w:lvlText w:val="%5."/>
      <w:lvlJc w:val="left"/>
      <w:pPr>
        <w:tabs>
          <w:tab w:val="left" w:pos="1648"/>
          <w:tab w:val="num" w:pos="4848"/>
        </w:tabs>
        <w:ind w:left="41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A3A5E">
      <w:start w:val="1"/>
      <w:numFmt w:val="decimal"/>
      <w:lvlText w:val="%6."/>
      <w:lvlJc w:val="left"/>
      <w:pPr>
        <w:tabs>
          <w:tab w:val="left" w:pos="1648"/>
          <w:tab w:val="num" w:pos="5648"/>
        </w:tabs>
        <w:ind w:left="49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EF9BA">
      <w:start w:val="1"/>
      <w:numFmt w:val="decimal"/>
      <w:lvlText w:val="%7."/>
      <w:lvlJc w:val="left"/>
      <w:pPr>
        <w:tabs>
          <w:tab w:val="left" w:pos="1648"/>
          <w:tab w:val="num" w:pos="6448"/>
        </w:tabs>
        <w:ind w:left="57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634D8">
      <w:start w:val="1"/>
      <w:numFmt w:val="decimal"/>
      <w:lvlText w:val="%8."/>
      <w:lvlJc w:val="left"/>
      <w:pPr>
        <w:tabs>
          <w:tab w:val="left" w:pos="1648"/>
          <w:tab w:val="num" w:pos="7248"/>
        </w:tabs>
        <w:ind w:left="65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EFC7A">
      <w:start w:val="1"/>
      <w:numFmt w:val="decimal"/>
      <w:lvlText w:val="%9."/>
      <w:lvlJc w:val="left"/>
      <w:pPr>
        <w:tabs>
          <w:tab w:val="left" w:pos="1648"/>
          <w:tab w:val="num" w:pos="8048"/>
        </w:tabs>
        <w:ind w:left="73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511157"/>
    <w:multiLevelType w:val="hybridMultilevel"/>
    <w:tmpl w:val="DDBADBBE"/>
    <w:styleLink w:val="Numbered0"/>
    <w:lvl w:ilvl="0" w:tplc="B3AC5AAA">
      <w:start w:val="1"/>
      <w:numFmt w:val="decimal"/>
      <w:lvlText w:val="%1."/>
      <w:lvlJc w:val="left"/>
      <w:pPr>
        <w:tabs>
          <w:tab w:val="num" w:pos="1648"/>
        </w:tabs>
        <w:ind w:left="9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8E1C">
      <w:start w:val="1"/>
      <w:numFmt w:val="decimal"/>
      <w:lvlText w:val="%2."/>
      <w:lvlJc w:val="left"/>
      <w:pPr>
        <w:tabs>
          <w:tab w:val="num" w:pos="2448"/>
        </w:tabs>
        <w:ind w:left="17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E1794">
      <w:start w:val="1"/>
      <w:numFmt w:val="decimal"/>
      <w:lvlText w:val="%3."/>
      <w:lvlJc w:val="left"/>
      <w:pPr>
        <w:tabs>
          <w:tab w:val="num" w:pos="3248"/>
        </w:tabs>
        <w:ind w:left="25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C921A">
      <w:start w:val="1"/>
      <w:numFmt w:val="decimal"/>
      <w:lvlText w:val="%4."/>
      <w:lvlJc w:val="left"/>
      <w:pPr>
        <w:tabs>
          <w:tab w:val="num" w:pos="4048"/>
        </w:tabs>
        <w:ind w:left="33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2B4F8">
      <w:start w:val="1"/>
      <w:numFmt w:val="decimal"/>
      <w:lvlText w:val="%5."/>
      <w:lvlJc w:val="left"/>
      <w:pPr>
        <w:tabs>
          <w:tab w:val="num" w:pos="4848"/>
        </w:tabs>
        <w:ind w:left="41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8341C">
      <w:start w:val="1"/>
      <w:numFmt w:val="decimal"/>
      <w:lvlText w:val="%6."/>
      <w:lvlJc w:val="left"/>
      <w:pPr>
        <w:tabs>
          <w:tab w:val="num" w:pos="5648"/>
        </w:tabs>
        <w:ind w:left="49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21B4C">
      <w:start w:val="1"/>
      <w:numFmt w:val="decimal"/>
      <w:lvlText w:val="%7."/>
      <w:lvlJc w:val="left"/>
      <w:pPr>
        <w:tabs>
          <w:tab w:val="num" w:pos="6448"/>
        </w:tabs>
        <w:ind w:left="57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420E4">
      <w:start w:val="1"/>
      <w:numFmt w:val="decimal"/>
      <w:lvlText w:val="%8."/>
      <w:lvlJc w:val="left"/>
      <w:pPr>
        <w:tabs>
          <w:tab w:val="num" w:pos="7248"/>
        </w:tabs>
        <w:ind w:left="65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C9FB6">
      <w:start w:val="1"/>
      <w:numFmt w:val="decimal"/>
      <w:lvlText w:val="%9."/>
      <w:lvlJc w:val="left"/>
      <w:pPr>
        <w:tabs>
          <w:tab w:val="num" w:pos="8048"/>
        </w:tabs>
        <w:ind w:left="7340" w:firstLine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44"/>
    <w:rsid w:val="00356020"/>
    <w:rsid w:val="004F3C44"/>
    <w:rsid w:val="00B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74D6A-E37F-428E-95DF-E9E93FC0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4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Percem</dc:creator>
  <cp:lastModifiedBy>Percem</cp:lastModifiedBy>
  <cp:revision>2</cp:revision>
  <dcterms:created xsi:type="dcterms:W3CDTF">2024-01-07T07:47:00Z</dcterms:created>
  <dcterms:modified xsi:type="dcterms:W3CDTF">2024-01-07T07:47:00Z</dcterms:modified>
</cp:coreProperties>
</file>