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3B40EA44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45F0E">
        <w:rPr>
          <w:rFonts w:ascii="Calibri" w:hAnsi="Calibri" w:cs="Calibri"/>
          <w:sz w:val="22"/>
          <w:szCs w:val="22"/>
        </w:rPr>
        <w:t>Fikrican</w:t>
      </w:r>
      <w:proofErr w:type="spellEnd"/>
      <w:r w:rsidR="00C45F0E">
        <w:rPr>
          <w:rFonts w:ascii="Calibri" w:hAnsi="Calibri" w:cs="Calibri"/>
          <w:sz w:val="22"/>
          <w:szCs w:val="22"/>
        </w:rPr>
        <w:t xml:space="preserve"> Kayıkçı</w:t>
      </w:r>
    </w:p>
    <w:p w14:paraId="372E9568" w14:textId="1DA27A06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C45F0E">
        <w:rPr>
          <w:rFonts w:ascii="Calibri" w:hAnsi="Calibri" w:cs="Calibri"/>
          <w:b/>
          <w:sz w:val="22"/>
          <w:szCs w:val="22"/>
        </w:rPr>
        <w:t>Araştırma Görevlisi</w:t>
      </w:r>
    </w:p>
    <w:p w14:paraId="11269724" w14:textId="7D2FFA57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C45F0E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595"/>
        <w:gridCol w:w="3837"/>
        <w:gridCol w:w="96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4FCC7D6" w:rsidR="007F6189" w:rsidRDefault="00C45F0E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C67D08D" w:rsidR="007F6189" w:rsidRDefault="00C45F0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Yakın Doğu Üniversitesi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36F24F27" w:rsidR="007F6189" w:rsidRDefault="00C45F0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2014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A9EDDAE" w:rsidR="00445C05" w:rsidRDefault="00C45F0E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Özel Hukuk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F868220" w:rsidR="00445C05" w:rsidRDefault="00C45F0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C2F01A5" w:rsidR="00445C05" w:rsidRDefault="00C45F0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04F8636" w:rsidR="007F6189" w:rsidRDefault="00C45F0E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Özel 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D24C599" w:rsidR="007F6189" w:rsidRDefault="00C45F0E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AF54E53" w:rsidR="007F6189" w:rsidRDefault="00C45F0E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Devam etmekte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FCA9A72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4A93EE84" w14:textId="154C6182" w:rsidR="00C45F0E" w:rsidRPr="00C45F0E" w:rsidRDefault="00C45F0E" w:rsidP="00C45F0E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5F0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eastAsia="en-GB"/>
        </w:rPr>
        <w:t>Grev Hakkı ve Grevin Sınırları Türk ve Kuzey Kıbrıs Türk Cumhuriyeti Hukuku Açısından Karşılaştırmalı Bir İnceleme – Prof. Dr. Mehmet Polat SOYER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4474BA7A" w14:textId="4E3F4DF2" w:rsidR="00D01C77" w:rsidRDefault="00C45F0E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Türk ve KKTC İş Hukukunda Sendika Hakkı ve Sendika Özgürlüğünün İçeriği ve Korunması – </w:t>
      </w:r>
      <w:proofErr w:type="spellStart"/>
      <w:r>
        <w:rPr>
          <w:rFonts w:ascii="Calibri" w:hAnsi="Calibri" w:cs="Calibri"/>
          <w:b/>
          <w:sz w:val="22"/>
          <w:szCs w:val="22"/>
        </w:rPr>
        <w:t>Prof.Dr</w:t>
      </w:r>
      <w:proofErr w:type="spellEnd"/>
      <w:r>
        <w:rPr>
          <w:rFonts w:ascii="Calibri" w:hAnsi="Calibri" w:cs="Calibri"/>
          <w:b/>
          <w:sz w:val="22"/>
          <w:szCs w:val="22"/>
        </w:rPr>
        <w:t>. Mehmet Polat Soyer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6D9E25F6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Yardımcı doçentlik tarihi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="00C45F0E">
        <w:rPr>
          <w:rFonts w:ascii="Calibri" w:hAnsi="Calibri" w:cs="Calibri"/>
          <w:sz w:val="22"/>
          <w:szCs w:val="22"/>
        </w:rPr>
        <w:t>-</w:t>
      </w:r>
      <w:proofErr w:type="gramEnd"/>
    </w:p>
    <w:p w14:paraId="684AB732" w14:textId="67234188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Doçentlik tarihi</w:t>
      </w:r>
      <w:proofErr w:type="gramStart"/>
      <w:r>
        <w:rPr>
          <w:rFonts w:ascii="Calibri" w:hAnsi="Calibri" w:cs="Calibri"/>
          <w:sz w:val="22"/>
          <w:szCs w:val="22"/>
        </w:rPr>
        <w:t xml:space="preserve">: </w:t>
      </w:r>
      <w:r w:rsidR="00C45F0E">
        <w:rPr>
          <w:rFonts w:ascii="Calibri" w:hAnsi="Calibri" w:cs="Calibri"/>
          <w:sz w:val="22"/>
          <w:szCs w:val="22"/>
        </w:rPr>
        <w:t>-</w:t>
      </w:r>
      <w:proofErr w:type="gramEnd"/>
    </w:p>
    <w:p w14:paraId="1562D51B" w14:textId="4E95DF4A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C45F0E">
        <w:rPr>
          <w:rFonts w:ascii="Calibri" w:hAnsi="Calibri" w:cs="Calibri"/>
          <w:sz w:val="22"/>
          <w:szCs w:val="22"/>
        </w:rPr>
        <w:t>-</w:t>
      </w:r>
      <w:proofErr w:type="gramEnd"/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39FDBB10" w14:textId="3841FC89" w:rsidR="00C45F0E" w:rsidRDefault="00C430F8" w:rsidP="00C45F0E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</w:t>
      </w:r>
      <w:proofErr w:type="gramStart"/>
      <w:r w:rsidR="00445C05">
        <w:rPr>
          <w:rFonts w:ascii="Calibri" w:hAnsi="Calibri" w:cs="Calibri"/>
          <w:sz w:val="22"/>
          <w:szCs w:val="22"/>
        </w:rPr>
        <w:t>tezleri</w:t>
      </w:r>
      <w:r w:rsidR="00C45F0E">
        <w:rPr>
          <w:rFonts w:ascii="Calibri" w:hAnsi="Calibri" w:cs="Calibri"/>
          <w:sz w:val="22"/>
          <w:szCs w:val="22"/>
        </w:rPr>
        <w:t xml:space="preserve"> -</w:t>
      </w:r>
      <w:proofErr w:type="gramEnd"/>
    </w:p>
    <w:p w14:paraId="18A68A9A" w14:textId="5037DA58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</w:t>
      </w:r>
      <w:proofErr w:type="gramStart"/>
      <w:r>
        <w:rPr>
          <w:rFonts w:ascii="Calibri" w:hAnsi="Calibri" w:cs="Calibri"/>
          <w:sz w:val="22"/>
          <w:szCs w:val="22"/>
        </w:rPr>
        <w:t>tezleri</w:t>
      </w:r>
      <w:r w:rsidR="00C45F0E">
        <w:rPr>
          <w:rFonts w:ascii="Calibri" w:hAnsi="Calibri" w:cs="Calibri"/>
          <w:sz w:val="22"/>
          <w:szCs w:val="22"/>
        </w:rPr>
        <w:t xml:space="preserve"> -</w:t>
      </w:r>
      <w:proofErr w:type="gramEnd"/>
    </w:p>
    <w:p w14:paraId="08327DD8" w14:textId="15D2F76B" w:rsidR="00C45F0E" w:rsidRDefault="00C45F0E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96A837C" w14:textId="77777777" w:rsidR="00C45F0E" w:rsidRDefault="00C45F0E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5FB555" w14:textId="37B07984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09C04D0B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6EF83E23" w14:textId="1FDC3423" w:rsidR="00C45F0E" w:rsidRPr="00C45F0E" w:rsidRDefault="00C45F0E" w:rsidP="00C45F0E">
      <w:pPr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45F0E">
        <w:rPr>
          <w:rFonts w:asciiTheme="minorHAnsi" w:hAnsiTheme="minorHAnsi" w:cstheme="minorHAnsi"/>
          <w:b/>
          <w:sz w:val="22"/>
          <w:szCs w:val="22"/>
        </w:rPr>
        <w:t xml:space="preserve">1- Çalışma Süresi Bakımından Türk İş Hukuku ile Kuzey Kıbrıs Türk Cumhuriyeti İş Hukuku’nun Karşılaştırılması, </w:t>
      </w:r>
      <w:r w:rsidRPr="00C45F0E">
        <w:rPr>
          <w:rFonts w:asciiTheme="minorHAnsi" w:hAnsiTheme="minorHAnsi" w:cstheme="minorHAnsi"/>
          <w:b/>
          <w:color w:val="000000"/>
          <w:sz w:val="22"/>
          <w:szCs w:val="22"/>
          <w:lang w:eastAsia="tr-TR"/>
        </w:rPr>
        <w:t>Antalya Bilim Üniversitesi Hukuk Dergisi. 2021, Cilt. 9 Sayı 17, s237-268. </w:t>
      </w:r>
    </w:p>
    <w:p w14:paraId="01D47F43" w14:textId="40AD4461" w:rsidR="00C45F0E" w:rsidRPr="00C45F0E" w:rsidRDefault="00C45F0E" w:rsidP="00C45F0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C0F74" w14:textId="6E1F405E" w:rsidR="00C45F0E" w:rsidRPr="00C45F0E" w:rsidRDefault="00C45F0E" w:rsidP="00C45F0E">
      <w:pPr>
        <w:rPr>
          <w:rStyle w:val="Heading1Char"/>
          <w:color w:val="000000" w:themeColor="text1"/>
        </w:rPr>
      </w:pPr>
      <w:r w:rsidRPr="00C45F0E">
        <w:rPr>
          <w:rFonts w:asciiTheme="minorHAnsi" w:hAnsiTheme="minorHAnsi" w:cstheme="minorHAnsi"/>
          <w:b/>
          <w:sz w:val="22"/>
          <w:szCs w:val="22"/>
        </w:rPr>
        <w:t xml:space="preserve">2- </w:t>
      </w:r>
      <w:r w:rsidRPr="00C45F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Türk ve Kuzey Kıbrıs Türk Cumhuriyeti İş Hukukunda Toplu İş Sözleşmesi Kavramı ve Toplu İş Sözleşmesinin Uygulanma Alanı, Gaziantep Sosyal Bilimler Dergisi, </w:t>
      </w:r>
      <w:hyperlink r:id="rId8" w:anchor="y2021" w:history="1">
        <w:proofErr w:type="spellStart"/>
        <w:r w:rsidRPr="00C45F0E">
          <w:rPr>
            <w:rStyle w:val="Heading1Char"/>
            <w:rFonts w:asciiTheme="minorHAnsi" w:hAnsiTheme="minorHAnsi" w:cstheme="minorHAnsi"/>
            <w:color w:val="000000" w:themeColor="text1"/>
            <w:sz w:val="22"/>
            <w:szCs w:val="22"/>
          </w:rPr>
          <w:t>Yıl</w:t>
        </w:r>
        <w:proofErr w:type="spellEnd"/>
        <w:r w:rsidRPr="00C45F0E">
          <w:rPr>
            <w:rStyle w:val="Heading1Char"/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2021</w:t>
        </w:r>
      </w:hyperlink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Cilt</w:t>
      </w:r>
      <w:proofErr w:type="spellEnd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 xml:space="preserve">: 20 </w:t>
      </w:r>
      <w:proofErr w:type="spellStart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Sayı</w:t>
      </w:r>
      <w:proofErr w:type="spellEnd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 xml:space="preserve">: 3, </w:t>
      </w:r>
      <w:proofErr w:type="gramStart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1200 -</w:t>
      </w:r>
      <w:proofErr w:type="gramEnd"/>
      <w:r w:rsidRPr="00C45F0E"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 xml:space="preserve"> 1214, 29.07.2021</w:t>
      </w:r>
      <w:r>
        <w:rPr>
          <w:rStyle w:val="Heading1Char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586821" w14:textId="276DE2BB" w:rsidR="00C45F0E" w:rsidRPr="00C45F0E" w:rsidRDefault="00C45F0E" w:rsidP="00C45F0E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BE13AC" w14:textId="76E39B17" w:rsidR="00C45F0E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Sanat ve Tasarım </w:t>
      </w:r>
      <w:proofErr w:type="gramStart"/>
      <w:r>
        <w:rPr>
          <w:rFonts w:ascii="Calibri" w:hAnsi="Calibri" w:cs="Calibri"/>
          <w:b/>
          <w:sz w:val="22"/>
          <w:szCs w:val="22"/>
        </w:rPr>
        <w:t>Etkinlikleri</w:t>
      </w:r>
      <w:r w:rsidR="00C45F0E">
        <w:rPr>
          <w:rFonts w:ascii="Calibri" w:hAnsi="Calibri" w:cs="Calibri"/>
          <w:b/>
          <w:sz w:val="22"/>
          <w:szCs w:val="22"/>
        </w:rPr>
        <w:t xml:space="preserve"> -</w:t>
      </w:r>
      <w:proofErr w:type="gramEnd"/>
    </w:p>
    <w:p w14:paraId="3BB487DF" w14:textId="67BB41AA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gramStart"/>
      <w:r w:rsidR="0028245C">
        <w:rPr>
          <w:rFonts w:ascii="Calibri" w:hAnsi="Calibri" w:cs="Calibri"/>
          <w:b/>
          <w:sz w:val="22"/>
          <w:szCs w:val="22"/>
        </w:rPr>
        <w:t>Projeler</w:t>
      </w:r>
      <w:r w:rsidR="00C45F0E">
        <w:rPr>
          <w:rFonts w:ascii="Calibri" w:hAnsi="Calibri" w:cs="Calibri"/>
          <w:b/>
          <w:sz w:val="22"/>
          <w:szCs w:val="22"/>
        </w:rPr>
        <w:t xml:space="preserve"> -</w:t>
      </w:r>
      <w:proofErr w:type="gramEnd"/>
    </w:p>
    <w:p w14:paraId="6C31C03A" w14:textId="3FF553A7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41971119" w14:textId="327F0BDA" w:rsidR="00C45F0E" w:rsidRDefault="00C45F0E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Hukuk Fakültesi </w:t>
      </w:r>
      <w:proofErr w:type="spellStart"/>
      <w:r>
        <w:rPr>
          <w:rFonts w:ascii="Calibri" w:hAnsi="Calibri" w:cs="Calibri"/>
          <w:b/>
          <w:sz w:val="22"/>
          <w:szCs w:val="22"/>
        </w:rPr>
        <w:t>Uzem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Kordinatörü</w:t>
      </w:r>
      <w:proofErr w:type="spellEnd"/>
    </w:p>
    <w:p w14:paraId="0A2976A6" w14:textId="11E382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6010E04D" w14:textId="573D983E" w:rsidR="00C45F0E" w:rsidRDefault="00C45F0E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KKTC Barolar Birliği Üyesi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10667C0" w:rsidR="003E4195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1-2022 Akademik Yılı YDÜ Genç Araştırmacı Ödülü </w:t>
      </w:r>
    </w:p>
    <w:p w14:paraId="1DC719CD" w14:textId="7A359A6C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75720FFA" w14:textId="33DBD5A5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39FDD1B" w14:textId="76F21731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4070B075" w14:textId="3E2E4382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FE0A540" w14:textId="3830459E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2EEB8F2C" w14:textId="1DE05D7C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436F1100" w14:textId="16EBF442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750657D9" w14:textId="0F6511CD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3368A397" w14:textId="5058A196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733BC723" w14:textId="57538D23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3B5A68A2" w14:textId="166CDE6E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699DD1B0" w14:textId="668241D3" w:rsidR="00C45F0E" w:rsidRDefault="00C45F0E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52CA5876" w14:textId="77777777" w:rsidR="00C45F0E" w:rsidRDefault="00C45F0E" w:rsidP="00C45F0E">
      <w:pPr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C45F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518"/>
        <w:gridCol w:w="2631"/>
        <w:gridCol w:w="1108"/>
        <w:gridCol w:w="1132"/>
        <w:gridCol w:w="1163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21A50760" w:rsidR="005847CD" w:rsidRDefault="00C45F0E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3B84106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Şahadet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1C5EC332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EBB8461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05F3982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0B678DC3" w:rsidR="005847CD" w:rsidRDefault="00C45F0E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58D7CBD3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Şahadet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9B33E02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AD25F18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66B214AF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670" w14:textId="77777777" w:rsidR="00C45F0E" w:rsidRDefault="00C45F0E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  <w:p w14:paraId="7F7BF2E9" w14:textId="79C64023" w:rsidR="005847CD" w:rsidRDefault="00C45F0E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(Girne Üniversitesi)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6C2312D" w:rsidR="005847CD" w:rsidRPr="00C45F0E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5F0E">
              <w:rPr>
                <w:rFonts w:ascii="Calibri" w:hAnsi="Calibri" w:cs="Calibri"/>
                <w:sz w:val="20"/>
                <w:szCs w:val="20"/>
              </w:rPr>
              <w:t>İş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4597883F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3396FE1A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339DC4D2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3956" w14:textId="77777777" w:rsidR="00C45F0E" w:rsidRDefault="00C45F0E" w:rsidP="00C45F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  <w:p w14:paraId="63E37468" w14:textId="6F0DBCFA" w:rsidR="00C45F0E" w:rsidRDefault="00C45F0E" w:rsidP="00C45F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Adalet Meslek Yüksekokulu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CF4F" w14:textId="77777777" w:rsidR="00C45F0E" w:rsidRPr="00C45F0E" w:rsidRDefault="00C45F0E" w:rsidP="00C45F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5F0E">
              <w:rPr>
                <w:rFonts w:ascii="Calibri" w:hAnsi="Calibri" w:cs="Calibri"/>
                <w:sz w:val="20"/>
                <w:szCs w:val="20"/>
              </w:rPr>
              <w:t>Avukatlık ve Noterlik Hukuku</w:t>
            </w:r>
          </w:p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D17A828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500E8BC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DB0CADB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77CF6E1B" w:rsidR="005847CD" w:rsidRDefault="00C45F0E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2FE64911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Şahadet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08DEE76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5002042D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24905C02" w:rsidR="005847CD" w:rsidRDefault="00C45F0E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BFD9685" w:rsidR="006E7F07" w:rsidRDefault="00C45F0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EB0DDE1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Şahadet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23CEAE9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260CD53F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BE3F9A1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62F0478" w:rsidR="006E7F07" w:rsidRDefault="00C45F0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71E85FA6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Şahadet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AAA56B1" w:rsidR="006E7F07" w:rsidRDefault="00C45F0E" w:rsidP="00C45F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73CCBA03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416E0A69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AF5B2CA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F2F770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9E232" w14:textId="77777777" w:rsidR="006E7F07" w:rsidRDefault="00C45F0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 Yıl</w:t>
            </w:r>
          </w:p>
          <w:p w14:paraId="4BE0E773" w14:textId="79EFB382" w:rsidR="00C45F0E" w:rsidRDefault="00C45F0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(Girne Üniversitesi)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395E18F5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İş Hukuku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69F03AAE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40081095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B78317F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A212C7A" w:rsidR="006E7F07" w:rsidRDefault="00C45F0E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77F2" w14:textId="279B5FDE" w:rsidR="00C45F0E" w:rsidRPr="00C45F0E" w:rsidRDefault="00C45F0E" w:rsidP="00C45F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F0E">
              <w:rPr>
                <w:rFonts w:asciiTheme="minorHAnsi" w:hAnsiTheme="minorHAnsi" w:cstheme="minorHAnsi"/>
                <w:sz w:val="22"/>
                <w:szCs w:val="22"/>
              </w:rPr>
              <w:t>KKTC Hukukunda Avukatlık Mesleği</w:t>
            </w:r>
          </w:p>
          <w:p w14:paraId="1E1545A6" w14:textId="6087827F" w:rsidR="00C45F0E" w:rsidRPr="00C45F0E" w:rsidRDefault="00C45F0E" w:rsidP="00C45F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F0E">
              <w:rPr>
                <w:rFonts w:asciiTheme="minorHAnsi" w:hAnsiTheme="minorHAnsi" w:cstheme="minorHAnsi"/>
                <w:sz w:val="22"/>
                <w:szCs w:val="22"/>
              </w:rPr>
              <w:t xml:space="preserve"> VE Mahkemelerin Yapısı </w:t>
            </w:r>
          </w:p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9A63A8C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0920E2BB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4F4EA37" w:rsidR="006E7F07" w:rsidRDefault="00C45F0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BA57" w14:textId="77777777" w:rsidR="00C7099F" w:rsidRDefault="00C7099F">
      <w:r>
        <w:separator/>
      </w:r>
    </w:p>
  </w:endnote>
  <w:endnote w:type="continuationSeparator" w:id="0">
    <w:p w14:paraId="482C5339" w14:textId="77777777" w:rsidR="00C7099F" w:rsidRDefault="00C7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ED98" w14:textId="77777777" w:rsidR="00C7099F" w:rsidRDefault="00C7099F">
      <w:r>
        <w:separator/>
      </w:r>
    </w:p>
  </w:footnote>
  <w:footnote w:type="continuationSeparator" w:id="0">
    <w:p w14:paraId="591ECA7E" w14:textId="77777777" w:rsidR="00C7099F" w:rsidRDefault="00C7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972105">
    <w:abstractNumId w:val="1"/>
  </w:num>
  <w:num w:numId="2" w16cid:durableId="208302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6458D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1789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45F0E"/>
    <w:rsid w:val="00C569FA"/>
    <w:rsid w:val="00C57981"/>
    <w:rsid w:val="00C6486A"/>
    <w:rsid w:val="00C7099F"/>
    <w:rsid w:val="00C91755"/>
    <w:rsid w:val="00CB5DA9"/>
    <w:rsid w:val="00CE4349"/>
    <w:rsid w:val="00D01C77"/>
    <w:rsid w:val="00D21968"/>
    <w:rsid w:val="00D274BE"/>
    <w:rsid w:val="00D32048"/>
    <w:rsid w:val="00D5475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tr/pub/jss/archive?y=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9722-ED0E-A548-A875-59B595F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2024-01-03T13:17:00Z</dcterms:created>
  <dcterms:modified xsi:type="dcterms:W3CDTF">2024-01-03T13:17:00Z</dcterms:modified>
</cp:coreProperties>
</file>